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黑体" w:hAnsi="宋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四川省水利建设市场主体不良行为记录认定表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2"/>
          <w:sz w:val="24"/>
          <w:szCs w:val="24"/>
          <w:lang w:val="en-US" w:eastAsia="zh-CN" w:bidi="ar"/>
        </w:rPr>
        <w:t>认定单位（盖章）：                           认定日期：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2641"/>
        <w:gridCol w:w="2147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市场主体名称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（个人姓名）</w:t>
            </w:r>
          </w:p>
        </w:tc>
        <w:tc>
          <w:tcPr>
            <w:tcW w:w="6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（居民身份证号码）</w:t>
            </w:r>
          </w:p>
        </w:tc>
        <w:tc>
          <w:tcPr>
            <w:tcW w:w="6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违法（违规）行为</w:t>
            </w:r>
          </w:p>
        </w:tc>
        <w:tc>
          <w:tcPr>
            <w:tcW w:w="6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处理依据</w:t>
            </w:r>
          </w:p>
        </w:tc>
        <w:tc>
          <w:tcPr>
            <w:tcW w:w="6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处理文件</w:t>
            </w:r>
          </w:p>
        </w:tc>
        <w:tc>
          <w:tcPr>
            <w:tcW w:w="6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处理决定</w:t>
            </w:r>
          </w:p>
        </w:tc>
        <w:tc>
          <w:tcPr>
            <w:tcW w:w="2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不良行为记录类别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处理时间</w:t>
            </w:r>
          </w:p>
        </w:tc>
        <w:tc>
          <w:tcPr>
            <w:tcW w:w="2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公开期限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处理机关</w:t>
            </w:r>
          </w:p>
        </w:tc>
        <w:tc>
          <w:tcPr>
            <w:tcW w:w="2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扣分分值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0"/>
        <w:jc w:val="both"/>
        <w:rPr>
          <w:rFonts w:hint="default" w:ascii="Times New Roman" w:hAnsi="Times New Roman" w:eastAsia="楷体" w:cs="Times New Roman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"/>
        </w:rPr>
        <w:t>填表说明：</w:t>
      </w: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420" w:leftChars="200" w:right="0" w:firstLine="0"/>
        <w:jc w:val="both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"/>
        </w:rPr>
        <w:t>1.违法（违规）行为栏应具体描述。</w:t>
      </w: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420" w:leftChars="200" w:right="0" w:firstLine="0"/>
        <w:jc w:val="both"/>
        <w:rPr>
          <w:rFonts w:hint="eastAsia" w:ascii="楷体" w:hAnsi="楷体" w:eastAsia="楷体" w:cs="楷体"/>
          <w:kern w:val="2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"/>
        </w:rPr>
        <w:t>2.处理依据栏应填写作出责任追究、行政处罚或司法判决依据的相关法律法规等文件，具体到第几条。</w:t>
      </w: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420" w:leftChars="200" w:right="0" w:firstLine="0"/>
        <w:jc w:val="both"/>
        <w:rPr>
          <w:rFonts w:hint="eastAsia" w:ascii="楷体" w:hAnsi="楷体" w:eastAsia="楷体" w:cs="楷体"/>
          <w:kern w:val="2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"/>
        </w:rPr>
        <w:t>3.处理文件栏应填写作出责任追究、行政处罚或司法判决等文件的名称及文号，处理文件随本表一并报送。</w:t>
      </w: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420" w:leftChars="200" w:right="0" w:firstLine="0"/>
        <w:jc w:val="both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"/>
        </w:rPr>
        <w:t>4.处理时间栏和处理机关栏分别填写出具处理文件的日期和单位。</w:t>
      </w: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420" w:leftChars="200" w:right="0" w:firstLine="0"/>
        <w:jc w:val="both"/>
        <w:rPr>
          <w:rFonts w:hint="default" w:ascii="Times New Roman" w:hAnsi="Times New Roman" w:eastAsia="楷体" w:cs="Times New Roman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"/>
        </w:rPr>
        <w:t>5.处理决定、不良行为记录信息类别、公开期限、扣分分值分别按《水利建设市场主体信用信息管理办法》（水建设[2019]306号）第十条、第十一条、第十六条和第二十一条填写。</w:t>
      </w:r>
    </w:p>
    <w:p>
      <w:r>
        <w:rPr>
          <w:rFonts w:hint="default" w:ascii="Times New Roman" w:hAnsi="Times New Roman" w:eastAsia="楷体" w:cs="Times New Roman"/>
          <w:kern w:val="2"/>
          <w:sz w:val="24"/>
          <w:szCs w:val="24"/>
          <w:lang w:val="en-US" w:eastAsia="zh-CN" w:bidi="ar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ODU2NzUzNzU3NTNjZWRmM2U5MGQyN2NlMjY0ZDUifQ=="/>
  </w:docVars>
  <w:rsids>
    <w:rsidRoot w:val="32397DB3"/>
    <w:rsid w:val="3239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2023-01-06T02:40:00Z</dcterms:created>
  <dc:creator>lureen</dc:creator>
  <cp:lastModifiedBy>lureen</cp:lastModifiedBy>
  <dcterms:modified xsi:type="dcterms:W3CDTF">2023-01-06T02:40:51Z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4A618D6D804E4C7F9D4B94BE77424574</vt:lpwstr>
  </property>
</Properties>
</file>